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310D7" w14:textId="700F7939" w:rsidR="00BE7B95" w:rsidRPr="00BE7B95" w:rsidRDefault="00BE7B95">
      <w:pPr>
        <w:rPr>
          <w:rFonts w:ascii="Times New Roman" w:hAnsi="Times New Roman" w:cs="Times New Roman"/>
          <w:sz w:val="24"/>
          <w:szCs w:val="24"/>
        </w:rPr>
      </w:pPr>
      <w:r w:rsidRPr="00BE7B95">
        <w:rPr>
          <w:rFonts w:ascii="Times New Roman" w:hAnsi="Times New Roman" w:cs="Times New Roman"/>
          <w:sz w:val="24"/>
          <w:szCs w:val="24"/>
        </w:rPr>
        <w:t>Quantitative methods</w:t>
      </w:r>
    </w:p>
    <w:p w14:paraId="7286650F" w14:textId="331FF03B" w:rsidR="00BE7B95" w:rsidRPr="00BE7B95" w:rsidRDefault="00BE7B95" w:rsidP="00BE7B95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BE7B95">
        <w:rPr>
          <w:rFonts w:ascii="Times New Roman" w:hAnsi="Times New Roman" w:cs="Times New Roman"/>
          <w:sz w:val="24"/>
          <w:szCs w:val="24"/>
          <w:lang w:val="en-CA"/>
        </w:rPr>
        <w:t>High school average compared to University GPA</w:t>
      </w:r>
    </w:p>
    <w:p w14:paraId="6B4FC7DF" w14:textId="3A75DC62" w:rsidR="00BE7B95" w:rsidRPr="00BE7B95" w:rsidRDefault="00BE7B95" w:rsidP="00BE7B95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BE7B95">
        <w:rPr>
          <w:rFonts w:ascii="Times New Roman" w:hAnsi="Times New Roman" w:cs="Times New Roman"/>
          <w:sz w:val="24"/>
          <w:szCs w:val="24"/>
          <w:lang w:val="en-CA"/>
        </w:rPr>
        <w:t xml:space="preserve">To determine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if </w:t>
      </w:r>
      <w:r w:rsidRPr="00BE7B95">
        <w:rPr>
          <w:rFonts w:ascii="Times New Roman" w:hAnsi="Times New Roman" w:cs="Times New Roman"/>
          <w:sz w:val="24"/>
          <w:szCs w:val="24"/>
          <w:lang w:val="en-CA"/>
        </w:rPr>
        <w:t>ther</w:t>
      </w:r>
      <w:r>
        <w:rPr>
          <w:rFonts w:ascii="Times New Roman" w:hAnsi="Times New Roman" w:cs="Times New Roman"/>
          <w:sz w:val="24"/>
          <w:szCs w:val="24"/>
          <w:lang w:val="en-CA"/>
        </w:rPr>
        <w:t>e</w:t>
      </w:r>
      <w:r w:rsidRPr="00BE7B95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is a </w:t>
      </w:r>
      <w:r w:rsidRPr="00BE7B95">
        <w:rPr>
          <w:rFonts w:ascii="Times New Roman" w:hAnsi="Times New Roman" w:cs="Times New Roman"/>
          <w:sz w:val="24"/>
          <w:szCs w:val="24"/>
          <w:lang w:val="en-CA"/>
        </w:rPr>
        <w:t xml:space="preserve">relationship between high school average and university GPA a regression analysis was carried out. The scatter plot below shows the relationship between the two variables. </w:t>
      </w:r>
    </w:p>
    <w:p w14:paraId="1CAA7A84" w14:textId="14673661" w:rsidR="00BE7B95" w:rsidRDefault="00BE7B9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856577F" wp14:editId="6367825E">
            <wp:extent cx="4254500" cy="3200400"/>
            <wp:effectExtent l="0" t="0" r="1270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AC04091-256A-4703-985D-538837B026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69DEF18" w14:textId="2B539B07" w:rsidR="00BE7B95" w:rsidRDefault="00BE7B95" w:rsidP="00F95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graph shows that there is positive relationship between </w:t>
      </w:r>
      <w:r w:rsidR="00F95EA7">
        <w:rPr>
          <w:rFonts w:ascii="Times New Roman" w:hAnsi="Times New Roman" w:cs="Times New Roman"/>
          <w:sz w:val="24"/>
          <w:szCs w:val="24"/>
        </w:rPr>
        <w:t>high school average and university GPA. This implies that those with a high high-school average are expected to have a high University GPA. The mode arrived at shows strong positive relationship since the value of r-squared is 49.3%.</w:t>
      </w:r>
    </w:p>
    <w:p w14:paraId="611DD0C2" w14:textId="77777777" w:rsidR="00F95C39" w:rsidRPr="00F95C39" w:rsidRDefault="00F95C39" w:rsidP="00F95C3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F95C39">
        <w:rPr>
          <w:rFonts w:ascii="Times New Roman" w:hAnsi="Times New Roman" w:cs="Times New Roman"/>
          <w:sz w:val="24"/>
          <w:szCs w:val="24"/>
          <w:lang w:val="en-CA"/>
        </w:rPr>
        <w:t>Does parent’s education level affect the student financially?</w:t>
      </w:r>
    </w:p>
    <w:p w14:paraId="416F2CFE" w14:textId="6F9E20B1" w:rsidR="00F95C39" w:rsidRDefault="00F95C39" w:rsidP="00F95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variables to be compared in this scenario is student’s income against their parents’ level of education. Using a bar chart and a pivot table the results arrived at will be presented. </w:t>
      </w:r>
    </w:p>
    <w:p w14:paraId="4958854D" w14:textId="20592B60" w:rsidR="00F95EA7" w:rsidRDefault="00F95EA7" w:rsidP="00F95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F9C6A40" wp14:editId="0EA4F87D">
            <wp:extent cx="4843463" cy="3200400"/>
            <wp:effectExtent l="0" t="0" r="14605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7EFA53CD-D385-40AC-A995-4D36839093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7E1CC22" w14:textId="50B70987" w:rsidR="00F95C39" w:rsidRDefault="00F95C39" w:rsidP="00F95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Its clear that the higher the parents’ level of education the higher the students’ level of income. students whose parents’ education level is less than high school earn less than $100,000. The students’ who their parents have a college or university education level earn up to 700,000. </w:t>
      </w:r>
    </w:p>
    <w:p w14:paraId="18F56FEA" w14:textId="02EADEF8" w:rsidR="00247895" w:rsidRDefault="00247895" w:rsidP="00F95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88D132A" wp14:editId="3725293F">
            <wp:extent cx="5005388" cy="3228975"/>
            <wp:effectExtent l="0" t="0" r="5080" b="952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17FCB374-9A76-4E09-BEAA-1185247EB1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77880A7" w14:textId="7260D66E" w:rsidR="00247895" w:rsidRPr="00BE7B95" w:rsidRDefault="00247895" w:rsidP="00F95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students are taking </w:t>
      </w:r>
      <w:r w:rsidR="00CD765F">
        <w:rPr>
          <w:rFonts w:ascii="Times New Roman" w:hAnsi="Times New Roman" w:cs="Times New Roman"/>
          <w:sz w:val="24"/>
          <w:szCs w:val="24"/>
        </w:rPr>
        <w:t xml:space="preserve">five courses (40%). Only 1% of the respondents said that they are taking one course. </w:t>
      </w:r>
      <w:bookmarkStart w:id="0" w:name="_GoBack"/>
      <w:bookmarkEnd w:id="0"/>
    </w:p>
    <w:sectPr w:rsidR="00247895" w:rsidRPr="00BE7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047A"/>
    <w:multiLevelType w:val="hybridMultilevel"/>
    <w:tmpl w:val="E168F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B95"/>
    <w:rsid w:val="00247895"/>
    <w:rsid w:val="00BE7B95"/>
    <w:rsid w:val="00CD765F"/>
    <w:rsid w:val="00F95C39"/>
    <w:rsid w:val="00F9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2FF3E"/>
  <w15:chartTrackingRefBased/>
  <w15:docId w15:val="{4DACCD8C-8B6E-45F0-9984-A46A9698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Group%20Proj%20class%20survey%20fall%202019%20(1)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Group%20Proj%20class%20survey%20fall%202019%20(1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Group%20Proj%20class%20survey%20fall%202019%20(1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High school average compared to University GPA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diamond"/>
            <c:size val="5"/>
            <c:spPr>
              <a:solidFill>
                <a:srgbClr val="000000"/>
              </a:solidFill>
              <a:ln w="6350">
                <a:noFill/>
              </a:ln>
            </c:spPr>
          </c:marker>
          <c:trendline>
            <c:spPr>
              <a:ln w="3175"/>
            </c:spPr>
            <c:trendlineType val="linear"/>
            <c:dispRSqr val="1"/>
            <c:dispEq val="1"/>
            <c:trendlineLbl>
              <c:layout>
                <c:manualLayout>
                  <c:x val="0.20384604536373252"/>
                  <c:y val="-0.13492063492063491"/>
                </c:manualLayout>
              </c:layout>
              <c:numFmt formatCode="#,##0.000\ ;\-#,##0.000\ " sourceLinked="0"/>
              <c:txPr>
                <a:bodyPr/>
                <a:lstStyle/>
                <a:p>
                  <a:pPr>
                    <a:defRPr sz="1000" b="0" i="0" baseline="0">
                      <a:latin typeface="Arial"/>
                      <a:ea typeface="Arial"/>
                      <a:cs typeface="Arial"/>
                    </a:defRPr>
                  </a:pPr>
                  <a:endParaRPr lang="en-US"/>
                </a:p>
              </c:txPr>
            </c:trendlineLbl>
          </c:trendline>
          <c:xVal>
            <c:strRef>
              <c:f>Sheet1!$B$2:$B$90</c:f>
              <c:strCache>
                <c:ptCount val="89"/>
                <c:pt idx="0">
                  <c:v>80</c:v>
                </c:pt>
                <c:pt idx="1">
                  <c:v>90</c:v>
                </c:pt>
                <c:pt idx="2">
                  <c:v>80</c:v>
                </c:pt>
                <c:pt idx="3">
                  <c:v>78</c:v>
                </c:pt>
                <c:pt idx="4">
                  <c:v>80</c:v>
                </c:pt>
                <c:pt idx="5">
                  <c:v>80</c:v>
                </c:pt>
                <c:pt idx="6">
                  <c:v>75</c:v>
                </c:pt>
                <c:pt idx="7">
                  <c:v>80</c:v>
                </c:pt>
                <c:pt idx="8">
                  <c:v>80</c:v>
                </c:pt>
                <c:pt idx="9">
                  <c:v>93</c:v>
                </c:pt>
                <c:pt idx="10">
                  <c:v>90</c:v>
                </c:pt>
                <c:pt idx="11">
                  <c:v>85</c:v>
                </c:pt>
                <c:pt idx="12">
                  <c:v>85</c:v>
                </c:pt>
                <c:pt idx="13">
                  <c:v>80</c:v>
                </c:pt>
                <c:pt idx="14">
                  <c:v>80</c:v>
                </c:pt>
                <c:pt idx="15">
                  <c:v>71</c:v>
                </c:pt>
                <c:pt idx="16">
                  <c:v>75</c:v>
                </c:pt>
                <c:pt idx="17">
                  <c:v>83</c:v>
                </c:pt>
                <c:pt idx="18">
                  <c:v>80</c:v>
                </c:pt>
                <c:pt idx="19">
                  <c:v>70</c:v>
                </c:pt>
                <c:pt idx="20">
                  <c:v>60</c:v>
                </c:pt>
                <c:pt idx="21">
                  <c:v>78.85</c:v>
                </c:pt>
                <c:pt idx="22">
                  <c:v>70</c:v>
                </c:pt>
                <c:pt idx="23">
                  <c:v>85</c:v>
                </c:pt>
                <c:pt idx="24">
                  <c:v>70</c:v>
                </c:pt>
                <c:pt idx="25">
                  <c:v>75</c:v>
                </c:pt>
                <c:pt idx="26">
                  <c:v>70</c:v>
                </c:pt>
                <c:pt idx="27">
                  <c:v>85</c:v>
                </c:pt>
                <c:pt idx="28">
                  <c:v>79</c:v>
                </c:pt>
                <c:pt idx="29">
                  <c:v>75</c:v>
                </c:pt>
                <c:pt idx="30">
                  <c:v>70</c:v>
                </c:pt>
                <c:pt idx="31">
                  <c:v>75</c:v>
                </c:pt>
                <c:pt idx="32">
                  <c:v>74</c:v>
                </c:pt>
                <c:pt idx="33">
                  <c:v>66</c:v>
                </c:pt>
                <c:pt idx="34">
                  <c:v>90</c:v>
                </c:pt>
                <c:pt idx="35">
                  <c:v>83</c:v>
                </c:pt>
                <c:pt idx="36">
                  <c:v>85</c:v>
                </c:pt>
                <c:pt idx="37">
                  <c:v>70</c:v>
                </c:pt>
                <c:pt idx="38">
                  <c:v>86</c:v>
                </c:pt>
                <c:pt idx="39">
                  <c:v>80</c:v>
                </c:pt>
                <c:pt idx="40">
                  <c:v>70</c:v>
                </c:pt>
                <c:pt idx="41">
                  <c:v>84</c:v>
                </c:pt>
                <c:pt idx="42">
                  <c:v>80</c:v>
                </c:pt>
                <c:pt idx="43">
                  <c:v>75</c:v>
                </c:pt>
                <c:pt idx="44">
                  <c:v>80</c:v>
                </c:pt>
                <c:pt idx="45">
                  <c:v>80</c:v>
                </c:pt>
                <c:pt idx="46">
                  <c:v>91</c:v>
                </c:pt>
                <c:pt idx="47">
                  <c:v>75</c:v>
                </c:pt>
                <c:pt idx="48">
                  <c:v>80</c:v>
                </c:pt>
                <c:pt idx="49">
                  <c:v>80</c:v>
                </c:pt>
                <c:pt idx="50">
                  <c:v>85</c:v>
                </c:pt>
                <c:pt idx="51">
                  <c:v>91</c:v>
                </c:pt>
                <c:pt idx="52">
                  <c:v>70</c:v>
                </c:pt>
                <c:pt idx="53">
                  <c:v>70</c:v>
                </c:pt>
                <c:pt idx="54">
                  <c:v>86</c:v>
                </c:pt>
                <c:pt idx="55">
                  <c:v>75</c:v>
                </c:pt>
                <c:pt idx="56">
                  <c:v>81</c:v>
                </c:pt>
                <c:pt idx="57">
                  <c:v>85</c:v>
                </c:pt>
                <c:pt idx="58">
                  <c:v>70</c:v>
                </c:pt>
                <c:pt idx="59">
                  <c:v>80</c:v>
                </c:pt>
                <c:pt idx="60">
                  <c:v>80</c:v>
                </c:pt>
                <c:pt idx="61">
                  <c:v>90</c:v>
                </c:pt>
                <c:pt idx="62">
                  <c:v>92</c:v>
                </c:pt>
                <c:pt idx="63">
                  <c:v>80</c:v>
                </c:pt>
                <c:pt idx="64">
                  <c:v>93</c:v>
                </c:pt>
                <c:pt idx="65">
                  <c:v>90</c:v>
                </c:pt>
                <c:pt idx="66">
                  <c:v>90</c:v>
                </c:pt>
                <c:pt idx="67">
                  <c:v>75</c:v>
                </c:pt>
                <c:pt idx="68">
                  <c:v>93</c:v>
                </c:pt>
                <c:pt idx="69">
                  <c:v>70</c:v>
                </c:pt>
                <c:pt idx="70">
                  <c:v>90</c:v>
                </c:pt>
                <c:pt idx="71">
                  <c:v>88.8</c:v>
                </c:pt>
                <c:pt idx="72">
                  <c:v>96</c:v>
                </c:pt>
                <c:pt idx="73">
                  <c:v>80</c:v>
                </c:pt>
                <c:pt idx="74">
                  <c:v>70</c:v>
                </c:pt>
                <c:pt idx="75">
                  <c:v>85</c:v>
                </c:pt>
                <c:pt idx="76">
                  <c:v>99</c:v>
                </c:pt>
                <c:pt idx="77">
                  <c:v>88</c:v>
                </c:pt>
                <c:pt idx="78">
                  <c:v>85</c:v>
                </c:pt>
                <c:pt idx="79">
                  <c:v>81</c:v>
                </c:pt>
                <c:pt idx="80">
                  <c:v>92</c:v>
                </c:pt>
                <c:pt idx="81">
                  <c:v>91</c:v>
                </c:pt>
                <c:pt idx="82">
                  <c:v>95</c:v>
                </c:pt>
                <c:pt idx="83">
                  <c:v>80</c:v>
                </c:pt>
                <c:pt idx="84">
                  <c:v>95</c:v>
                </c:pt>
                <c:pt idx="85">
                  <c:v>80</c:v>
                </c:pt>
                <c:pt idx="86">
                  <c:v>80</c:v>
                </c:pt>
                <c:pt idx="87">
                  <c:v>87</c:v>
                </c:pt>
                <c:pt idx="88">
                  <c:v>83</c:v>
                </c:pt>
              </c:strCache>
            </c:strRef>
          </c:xVal>
          <c:yVal>
            <c:numRef>
              <c:f>Sheet1!$C$2:$C$90</c:f>
              <c:numCache>
                <c:formatCode>0.00</c:formatCode>
                <c:ptCount val="89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3</c:v>
                </c:pt>
                <c:pt idx="10">
                  <c:v>3</c:v>
                </c:pt>
                <c:pt idx="11">
                  <c:v>3</c:v>
                </c:pt>
                <c:pt idx="12">
                  <c:v>3</c:v>
                </c:pt>
                <c:pt idx="13">
                  <c:v>3</c:v>
                </c:pt>
                <c:pt idx="14">
                  <c:v>3</c:v>
                </c:pt>
                <c:pt idx="15">
                  <c:v>3</c:v>
                </c:pt>
                <c:pt idx="16">
                  <c:v>4</c:v>
                </c:pt>
                <c:pt idx="17">
                  <c:v>4</c:v>
                </c:pt>
                <c:pt idx="18" formatCode="General">
                  <c:v>0</c:v>
                </c:pt>
                <c:pt idx="19" formatCode="General">
                  <c:v>1.3</c:v>
                </c:pt>
                <c:pt idx="20" formatCode="General">
                  <c:v>1.3</c:v>
                </c:pt>
                <c:pt idx="21" formatCode="General">
                  <c:v>1.39</c:v>
                </c:pt>
                <c:pt idx="22" formatCode="General">
                  <c:v>1.4</c:v>
                </c:pt>
                <c:pt idx="23" formatCode="General">
                  <c:v>1.4</c:v>
                </c:pt>
                <c:pt idx="24" formatCode="General">
                  <c:v>1.41</c:v>
                </c:pt>
                <c:pt idx="25" formatCode="General">
                  <c:v>1.6</c:v>
                </c:pt>
                <c:pt idx="26" formatCode="General">
                  <c:v>1.6</c:v>
                </c:pt>
                <c:pt idx="27" formatCode="General">
                  <c:v>1.7</c:v>
                </c:pt>
                <c:pt idx="28" formatCode="General">
                  <c:v>1.7</c:v>
                </c:pt>
                <c:pt idx="29" formatCode="General">
                  <c:v>1.7</c:v>
                </c:pt>
                <c:pt idx="30" formatCode="General">
                  <c:v>1.8</c:v>
                </c:pt>
                <c:pt idx="31" formatCode="General">
                  <c:v>1.86</c:v>
                </c:pt>
                <c:pt idx="32" formatCode="General">
                  <c:v>1.96</c:v>
                </c:pt>
                <c:pt idx="33" formatCode="General">
                  <c:v>2.06</c:v>
                </c:pt>
                <c:pt idx="34" formatCode="General">
                  <c:v>2.06</c:v>
                </c:pt>
                <c:pt idx="35" formatCode="General">
                  <c:v>2.1</c:v>
                </c:pt>
                <c:pt idx="36" formatCode="General">
                  <c:v>2.2000000000000002</c:v>
                </c:pt>
                <c:pt idx="37" formatCode="General">
                  <c:v>2.2999999999999998</c:v>
                </c:pt>
                <c:pt idx="38" formatCode="General">
                  <c:v>2.4</c:v>
                </c:pt>
                <c:pt idx="39" formatCode="General">
                  <c:v>2.4</c:v>
                </c:pt>
                <c:pt idx="40" formatCode="General">
                  <c:v>2.4</c:v>
                </c:pt>
                <c:pt idx="41" formatCode="General">
                  <c:v>2.46</c:v>
                </c:pt>
                <c:pt idx="42" formatCode="General">
                  <c:v>2.5</c:v>
                </c:pt>
                <c:pt idx="43" formatCode="General">
                  <c:v>2.5</c:v>
                </c:pt>
                <c:pt idx="44" formatCode="General">
                  <c:v>2.5</c:v>
                </c:pt>
                <c:pt idx="45" formatCode="General">
                  <c:v>2.5</c:v>
                </c:pt>
                <c:pt idx="46" formatCode="General">
                  <c:v>2.5</c:v>
                </c:pt>
                <c:pt idx="47" formatCode="General">
                  <c:v>2.5</c:v>
                </c:pt>
                <c:pt idx="48" formatCode="General">
                  <c:v>2.5</c:v>
                </c:pt>
                <c:pt idx="49" formatCode="General">
                  <c:v>2.52</c:v>
                </c:pt>
                <c:pt idx="50" formatCode="General">
                  <c:v>2.5499999999999998</c:v>
                </c:pt>
                <c:pt idx="51" formatCode="General">
                  <c:v>2.63</c:v>
                </c:pt>
                <c:pt idx="52" formatCode="General">
                  <c:v>2.64</c:v>
                </c:pt>
                <c:pt idx="53" formatCode="General">
                  <c:v>2.65</c:v>
                </c:pt>
                <c:pt idx="54" formatCode="General">
                  <c:v>2.68</c:v>
                </c:pt>
                <c:pt idx="55" formatCode="General">
                  <c:v>2.7</c:v>
                </c:pt>
                <c:pt idx="56" formatCode="General">
                  <c:v>2.7</c:v>
                </c:pt>
                <c:pt idx="57" formatCode="General">
                  <c:v>2.75</c:v>
                </c:pt>
                <c:pt idx="58" formatCode="General">
                  <c:v>2.78</c:v>
                </c:pt>
                <c:pt idx="59" formatCode="General">
                  <c:v>2.8</c:v>
                </c:pt>
                <c:pt idx="60" formatCode="General">
                  <c:v>2.8</c:v>
                </c:pt>
                <c:pt idx="61" formatCode="General">
                  <c:v>2.85</c:v>
                </c:pt>
                <c:pt idx="62" formatCode="General">
                  <c:v>2.95</c:v>
                </c:pt>
                <c:pt idx="63" formatCode="General">
                  <c:v>2.96</c:v>
                </c:pt>
                <c:pt idx="64" formatCode="General">
                  <c:v>2.98</c:v>
                </c:pt>
                <c:pt idx="65" formatCode="General">
                  <c:v>3.15</c:v>
                </c:pt>
                <c:pt idx="66" formatCode="General">
                  <c:v>3.2</c:v>
                </c:pt>
                <c:pt idx="67" formatCode="General">
                  <c:v>3.2</c:v>
                </c:pt>
                <c:pt idx="68" formatCode="General">
                  <c:v>3.23</c:v>
                </c:pt>
                <c:pt idx="69" formatCode="General">
                  <c:v>3.27</c:v>
                </c:pt>
                <c:pt idx="70" formatCode="General">
                  <c:v>3.3</c:v>
                </c:pt>
                <c:pt idx="71" formatCode="General">
                  <c:v>3.3</c:v>
                </c:pt>
                <c:pt idx="72" formatCode="General">
                  <c:v>3.42</c:v>
                </c:pt>
                <c:pt idx="73" formatCode="General">
                  <c:v>3.43</c:v>
                </c:pt>
                <c:pt idx="74" formatCode="General">
                  <c:v>3.5</c:v>
                </c:pt>
                <c:pt idx="75" formatCode="General">
                  <c:v>3.51</c:v>
                </c:pt>
                <c:pt idx="76" formatCode="General">
                  <c:v>3.6</c:v>
                </c:pt>
                <c:pt idx="77" formatCode="General">
                  <c:v>3.63</c:v>
                </c:pt>
                <c:pt idx="78" formatCode="General">
                  <c:v>3.65</c:v>
                </c:pt>
                <c:pt idx="79" formatCode="General">
                  <c:v>3.67</c:v>
                </c:pt>
                <c:pt idx="80" formatCode="General">
                  <c:v>3.7</c:v>
                </c:pt>
                <c:pt idx="81" formatCode="General">
                  <c:v>3.7</c:v>
                </c:pt>
                <c:pt idx="82" formatCode="General">
                  <c:v>3.72</c:v>
                </c:pt>
                <c:pt idx="83" formatCode="General">
                  <c:v>3.8</c:v>
                </c:pt>
                <c:pt idx="84" formatCode="General">
                  <c:v>3.8</c:v>
                </c:pt>
                <c:pt idx="85" formatCode="General">
                  <c:v>3.8</c:v>
                </c:pt>
                <c:pt idx="86" formatCode="General">
                  <c:v>3.91</c:v>
                </c:pt>
                <c:pt idx="87" formatCode="General">
                  <c:v>4.05</c:v>
                </c:pt>
                <c:pt idx="88" formatCode="General">
                  <c:v>4.2300000000000004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91B-4D81-B2B7-446A4BB3EA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8100864"/>
        <c:axId val="508097256"/>
      </c:scatterChart>
      <c:valAx>
        <c:axId val="508100864"/>
        <c:scaling>
          <c:orientation val="minMax"/>
          <c:min val="40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What was your approximate average (out of 100) in high school?</a:t>
                </a:r>
              </a:p>
            </c:rich>
          </c:tx>
          <c:overlay val="0"/>
        </c:title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508097256"/>
        <c:crosses val="autoZero"/>
        <c:crossBetween val="midCat"/>
      </c:valAx>
      <c:valAx>
        <c:axId val="50809725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What is your approximate GPA on courses taken at Saint Mary's.  Leave the question blank if this is your first term.</a:t>
                </a:r>
              </a:p>
            </c:rich>
          </c:tx>
          <c:overlay val="0"/>
        </c:title>
        <c:numFmt formatCode="0.00" sourceLinked="1"/>
        <c:majorTickMark val="cross"/>
        <c:minorTickMark val="cross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508100864"/>
        <c:crosses val="autoZero"/>
        <c:crossBetween val="midCat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[Group Proj class survey fall 2019 (1).xlsx]Sheet5!PivotTable6</c:name>
    <c:fmtId val="-1"/>
  </c:pivotSource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Sheet5!$B$3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Sheet5!$A$4:$A$11</c:f>
              <c:strCache>
                <c:ptCount val="7"/>
                <c:pt idx="0">
                  <c:v>Bachelor degree</c:v>
                </c:pt>
                <c:pt idx="1">
                  <c:v>College diploma or trade certification</c:v>
                </c:pt>
                <c:pt idx="2">
                  <c:v>Graduate degree(s)</c:v>
                </c:pt>
                <c:pt idx="3">
                  <c:v>High school</c:v>
                </c:pt>
                <c:pt idx="4">
                  <c:v>Less than high school</c:v>
                </c:pt>
                <c:pt idx="5">
                  <c:v>Some college or university</c:v>
                </c:pt>
                <c:pt idx="6">
                  <c:v>(blank)</c:v>
                </c:pt>
              </c:strCache>
            </c:strRef>
          </c:cat>
          <c:val>
            <c:numRef>
              <c:f>Sheet5!$B$4:$B$11</c:f>
              <c:numCache>
                <c:formatCode>General</c:formatCode>
                <c:ptCount val="7"/>
                <c:pt idx="0">
                  <c:v>145211.63</c:v>
                </c:pt>
                <c:pt idx="1">
                  <c:v>252196</c:v>
                </c:pt>
                <c:pt idx="2">
                  <c:v>217308</c:v>
                </c:pt>
                <c:pt idx="3">
                  <c:v>93100</c:v>
                </c:pt>
                <c:pt idx="4">
                  <c:v>6500</c:v>
                </c:pt>
                <c:pt idx="5">
                  <c:v>680035</c:v>
                </c:pt>
                <c:pt idx="6">
                  <c:v>38840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47-4BAB-9459-46F0AC0CF2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8106768"/>
        <c:axId val="508114312"/>
      </c:barChart>
      <c:catAx>
        <c:axId val="508106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8114312"/>
        <c:crosses val="autoZero"/>
        <c:auto val="1"/>
        <c:lblAlgn val="ctr"/>
        <c:lblOffset val="100"/>
        <c:noMultiLvlLbl val="0"/>
      </c:catAx>
      <c:valAx>
        <c:axId val="508114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08106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[Group Proj class survey fall 2019 (1).xlsx]Sheet6!PivotTable11</c:name>
    <c:fmtId val="-1"/>
  </c:pivotSource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0"/>
          <c:showCatName val="0"/>
          <c:showSerName val="0"/>
          <c:showPercent val="1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0"/>
          <c:showCatName val="0"/>
          <c:showSerName val="0"/>
          <c:showPercent val="1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3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4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5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6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7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8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9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0"/>
          <c:showCatName val="0"/>
          <c:showSerName val="0"/>
          <c:showPercent val="1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1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2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3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4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5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  <c:pivotFmt>
        <c:idx val="16"/>
        <c:spPr>
          <a:solidFill>
            <a:schemeClr val="accent1"/>
          </a:solidFill>
          <a:ln w="19050">
            <a:solidFill>
              <a:schemeClr val="lt1"/>
            </a:solidFill>
          </a:ln>
          <a:effectLst/>
        </c:spPr>
      </c:pivotFmt>
    </c:pivotFmts>
    <c:plotArea>
      <c:layout/>
      <c:pieChart>
        <c:varyColors val="1"/>
        <c:ser>
          <c:idx val="0"/>
          <c:order val="0"/>
          <c:tx>
            <c:strRef>
              <c:f>Sheet6!$B$3</c:f>
              <c:strCache>
                <c:ptCount val="1"/>
                <c:pt idx="0">
                  <c:v>Total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1F9-444E-BA7C-762B3949989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1F9-444E-BA7C-762B3949989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1F9-444E-BA7C-762B3949989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1F9-444E-BA7C-762B3949989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B1F9-444E-BA7C-762B3949989E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B1F9-444E-BA7C-762B3949989E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B1F9-444E-BA7C-762B3949989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Sheet6!$A$4:$A$10</c:f>
              <c:strCache>
                <c:ptCount val="7"/>
                <c:pt idx="0">
                  <c:v>Five</c:v>
                </c:pt>
                <c:pt idx="1">
                  <c:v>Four</c:v>
                </c:pt>
                <c:pt idx="2">
                  <c:v>One</c:v>
                </c:pt>
                <c:pt idx="3">
                  <c:v>Six</c:v>
                </c:pt>
                <c:pt idx="4">
                  <c:v>Three</c:v>
                </c:pt>
                <c:pt idx="5">
                  <c:v>Two</c:v>
                </c:pt>
                <c:pt idx="6">
                  <c:v>(blank)</c:v>
                </c:pt>
              </c:strCache>
            </c:strRef>
          </c:cat>
          <c:val>
            <c:numRef>
              <c:f>Sheet6!$B$4:$B$10</c:f>
              <c:numCache>
                <c:formatCode>General</c:formatCode>
                <c:ptCount val="7"/>
                <c:pt idx="0">
                  <c:v>57</c:v>
                </c:pt>
                <c:pt idx="1">
                  <c:v>52</c:v>
                </c:pt>
                <c:pt idx="2">
                  <c:v>2</c:v>
                </c:pt>
                <c:pt idx="3">
                  <c:v>9</c:v>
                </c:pt>
                <c:pt idx="4">
                  <c:v>16</c:v>
                </c:pt>
                <c:pt idx="5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B1F9-444E-BA7C-762B394998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6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2020-03-31T23:09:00Z</dcterms:created>
  <dcterms:modified xsi:type="dcterms:W3CDTF">2020-03-31T23:51:00Z</dcterms:modified>
</cp:coreProperties>
</file>